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9EF54" w14:textId="0F28B6A9" w:rsidR="00747D79" w:rsidRPr="00F35D10" w:rsidRDefault="00747D79" w:rsidP="00747D79">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F35D10">
        <w:rPr>
          <w:rFonts w:ascii="Times New Roman" w:hAnsi="Times New Roman" w:cs="Times New Roman"/>
          <w:color w:val="000000" w:themeColor="text1"/>
          <w:sz w:val="22"/>
          <w:lang w:val="en-US"/>
        </w:rPr>
        <w:t>3GPP TSG RAN WG4 Meeting #108</w:t>
      </w:r>
      <w:r w:rsidRPr="00F35D10">
        <w:rPr>
          <w:rFonts w:ascii="Times New Roman" w:hAnsi="Times New Roman" w:cs="Times New Roman"/>
          <w:color w:val="000000" w:themeColor="text1"/>
          <w:sz w:val="22"/>
          <w:lang w:val="en-US"/>
        </w:rPr>
        <w:tab/>
      </w:r>
      <w:r w:rsidR="00685AFC" w:rsidRPr="00685AFC">
        <w:rPr>
          <w:rFonts w:ascii="Times New Roman" w:hAnsi="Times New Roman" w:cs="Times New Roman"/>
          <w:sz w:val="22"/>
          <w:lang w:val="en-US"/>
        </w:rPr>
        <w:t>R4-2312364</w:t>
      </w:r>
    </w:p>
    <w:p w14:paraId="395F2D4A" w14:textId="77777777" w:rsidR="00747D79" w:rsidRPr="00F35D10" w:rsidRDefault="00747D79" w:rsidP="00747D79">
      <w:pPr>
        <w:pStyle w:val="3GPPHeader"/>
        <w:rPr>
          <w:rFonts w:ascii="Times New Roman" w:hAnsi="Times New Roman" w:cs="Times New Roman"/>
          <w:color w:val="000000" w:themeColor="text1"/>
          <w:sz w:val="22"/>
          <w:lang w:val="en-US"/>
        </w:rPr>
      </w:pPr>
      <w:bookmarkStart w:id="3" w:name="_Hlk488924106"/>
      <w:bookmarkEnd w:id="3"/>
      <w:r w:rsidRPr="00F35D10">
        <w:rPr>
          <w:rFonts w:ascii="Times New Roman" w:hAnsi="Times New Roman" w:cs="Times New Roman"/>
          <w:color w:val="000000" w:themeColor="text1"/>
          <w:sz w:val="22"/>
          <w:lang w:val="en-US"/>
        </w:rPr>
        <w:t>Toulouse, 21 Aug. 2023 – 25 Aug. 2023</w:t>
      </w:r>
    </w:p>
    <w:p w14:paraId="13594D52" w14:textId="77777777" w:rsidR="00747D79" w:rsidRPr="00F35D10" w:rsidRDefault="00747D79" w:rsidP="00747D79">
      <w:pPr>
        <w:pStyle w:val="3GPPHeader"/>
        <w:rPr>
          <w:rFonts w:ascii="Times New Roman" w:hAnsi="Times New Roman" w:cs="Times New Roman"/>
          <w:color w:val="FF0000"/>
          <w:sz w:val="22"/>
          <w:lang w:val="en-US"/>
        </w:rPr>
      </w:pPr>
    </w:p>
    <w:p w14:paraId="63F809AB" w14:textId="77777777" w:rsidR="00747D79" w:rsidRPr="00F35D10" w:rsidRDefault="00747D79" w:rsidP="00747D79">
      <w:pPr>
        <w:pStyle w:val="3GPPHeader"/>
        <w:rPr>
          <w:rFonts w:ascii="Times New Roman" w:hAnsi="Times New Roman" w:cs="Times New Roman"/>
          <w:sz w:val="22"/>
          <w:lang w:val="en-US"/>
        </w:rPr>
      </w:pPr>
      <w:r w:rsidRPr="00F35D10">
        <w:rPr>
          <w:rFonts w:ascii="Times New Roman" w:hAnsi="Times New Roman" w:cs="Times New Roman"/>
          <w:sz w:val="22"/>
          <w:lang w:val="en-US"/>
        </w:rPr>
        <w:t xml:space="preserve">Source: </w:t>
      </w:r>
      <w:r w:rsidRPr="00F35D10">
        <w:rPr>
          <w:rFonts w:ascii="Times New Roman" w:hAnsi="Times New Roman" w:cs="Times New Roman"/>
          <w:sz w:val="22"/>
          <w:lang w:val="en-US"/>
        </w:rPr>
        <w:tab/>
        <w:t xml:space="preserve">Ericsson </w:t>
      </w:r>
    </w:p>
    <w:p w14:paraId="3D97DEE1" w14:textId="05AD1BB1" w:rsidR="00747D79" w:rsidRPr="00F35D10" w:rsidRDefault="00747D79" w:rsidP="00747D79">
      <w:pPr>
        <w:pStyle w:val="3GPPHeader"/>
        <w:rPr>
          <w:rFonts w:ascii="Times New Roman" w:hAnsi="Times New Roman" w:cs="Times New Roman"/>
          <w:sz w:val="22"/>
          <w:lang w:val="en-US"/>
        </w:rPr>
      </w:pPr>
      <w:r w:rsidRPr="00F35D10">
        <w:rPr>
          <w:rFonts w:ascii="Times New Roman" w:hAnsi="Times New Roman" w:cs="Times New Roman"/>
          <w:sz w:val="22"/>
          <w:lang w:val="en-US"/>
        </w:rPr>
        <w:t xml:space="preserve">Title:  </w:t>
      </w:r>
      <w:r w:rsidRPr="00F35D10">
        <w:rPr>
          <w:rFonts w:ascii="Times New Roman" w:hAnsi="Times New Roman" w:cs="Times New Roman"/>
          <w:sz w:val="22"/>
          <w:lang w:val="en-US"/>
        </w:rPr>
        <w:tab/>
      </w:r>
      <w:r w:rsidR="001203F6">
        <w:rPr>
          <w:rFonts w:ascii="Times New Roman" w:hAnsi="Times New Roman" w:cs="Times New Roman"/>
          <w:sz w:val="22"/>
          <w:lang w:val="en-US"/>
        </w:rPr>
        <w:t xml:space="preserve">General </w:t>
      </w:r>
      <w:r w:rsidR="00334352" w:rsidRPr="00334352">
        <w:rPr>
          <w:rFonts w:ascii="Times New Roman" w:hAnsi="Times New Roman" w:cs="Times New Roman"/>
          <w:sz w:val="22"/>
          <w:lang w:val="en-US"/>
        </w:rPr>
        <w:t>aspects</w:t>
      </w:r>
      <w:r w:rsidRPr="00F35D10">
        <w:rPr>
          <w:rFonts w:ascii="Times New Roman" w:hAnsi="Times New Roman" w:cs="Times New Roman"/>
          <w:sz w:val="22"/>
          <w:lang w:val="en-US"/>
        </w:rPr>
        <w:t xml:space="preserve"> for In-Device Co-existence (IDC) enhancements </w:t>
      </w:r>
    </w:p>
    <w:p w14:paraId="064E3DF3" w14:textId="11061128" w:rsidR="00747D79" w:rsidRPr="00F35D10" w:rsidRDefault="00747D79" w:rsidP="00747D79">
      <w:pPr>
        <w:pStyle w:val="3GPPHeader"/>
        <w:rPr>
          <w:rFonts w:ascii="Times New Roman" w:hAnsi="Times New Roman" w:cs="Times New Roman"/>
          <w:sz w:val="22"/>
          <w:lang w:val="en-US"/>
        </w:rPr>
      </w:pPr>
      <w:r w:rsidRPr="00F35D10">
        <w:rPr>
          <w:rFonts w:ascii="Times New Roman" w:hAnsi="Times New Roman" w:cs="Times New Roman"/>
          <w:color w:val="000000" w:themeColor="text1"/>
          <w:sz w:val="22"/>
          <w:lang w:val="en-US"/>
        </w:rPr>
        <w:t>Agenda Item:</w:t>
      </w:r>
      <w:r w:rsidRPr="00F35D10">
        <w:rPr>
          <w:rFonts w:ascii="Times New Roman" w:hAnsi="Times New Roman" w:cs="Times New Roman"/>
          <w:color w:val="000000" w:themeColor="text1"/>
          <w:sz w:val="22"/>
          <w:lang w:val="en-US"/>
        </w:rPr>
        <w:tab/>
        <w:t>8.36.</w:t>
      </w:r>
      <w:r w:rsidR="0094356C">
        <w:rPr>
          <w:rFonts w:ascii="Times New Roman" w:hAnsi="Times New Roman" w:cs="Times New Roman"/>
          <w:color w:val="000000" w:themeColor="text1"/>
          <w:sz w:val="22"/>
          <w:lang w:val="en-US"/>
        </w:rPr>
        <w:t>1</w:t>
      </w:r>
      <w:r w:rsidRPr="00F35D10">
        <w:rPr>
          <w:rFonts w:ascii="Times New Roman" w:hAnsi="Times New Roman" w:cs="Times New Roman"/>
          <w:sz w:val="22"/>
          <w:lang w:val="en-US"/>
        </w:rPr>
        <w:tab/>
      </w:r>
    </w:p>
    <w:p w14:paraId="02AB4F73" w14:textId="77777777" w:rsidR="00747D79" w:rsidRPr="00F35D10" w:rsidRDefault="00747D79" w:rsidP="00747D79">
      <w:pPr>
        <w:pStyle w:val="3GPPHeader"/>
        <w:rPr>
          <w:rFonts w:ascii="Times New Roman" w:hAnsi="Times New Roman" w:cs="Times New Roman"/>
          <w:sz w:val="22"/>
          <w:lang w:val="en-US"/>
        </w:rPr>
      </w:pPr>
      <w:r w:rsidRPr="00F35D10">
        <w:rPr>
          <w:rFonts w:ascii="Times New Roman" w:hAnsi="Times New Roman" w:cs="Times New Roman"/>
          <w:sz w:val="22"/>
          <w:lang w:val="en-US"/>
        </w:rPr>
        <w:t>Document for:</w:t>
      </w:r>
      <w:r w:rsidRPr="00F35D10">
        <w:rPr>
          <w:rFonts w:ascii="Times New Roman" w:hAnsi="Times New Roman" w:cs="Times New Roman"/>
          <w:sz w:val="22"/>
          <w:lang w:val="en-US"/>
        </w:rPr>
        <w:tab/>
        <w:t>Discussion</w:t>
      </w:r>
    </w:p>
    <w:p w14:paraId="40927565" w14:textId="77777777" w:rsidR="00F10687" w:rsidRPr="00F35D10" w:rsidRDefault="00F10687" w:rsidP="00F10687">
      <w:pPr>
        <w:pStyle w:val="Heading1"/>
        <w:rPr>
          <w:rFonts w:ascii="Times New Roman" w:hAnsi="Times New Roman"/>
          <w:lang w:val="sv-SE"/>
        </w:rPr>
      </w:pPr>
      <w:proofErr w:type="spellStart"/>
      <w:r w:rsidRPr="00F35D10">
        <w:rPr>
          <w:rFonts w:ascii="Times New Roman" w:hAnsi="Times New Roman"/>
          <w:lang w:val="sv-SE"/>
        </w:rPr>
        <w:t>Dis</w:t>
      </w:r>
      <w:r w:rsidRPr="00F35D10">
        <w:rPr>
          <w:rFonts w:ascii="Times New Roman" w:hAnsi="Times New Roman"/>
          <w:lang w:val="sv-SE" w:eastAsia="zh-CN"/>
        </w:rPr>
        <w:t>cu</w:t>
      </w:r>
      <w:r w:rsidRPr="00F35D10">
        <w:rPr>
          <w:rFonts w:ascii="Times New Roman" w:hAnsi="Times New Roman"/>
          <w:lang w:val="sv-SE"/>
        </w:rPr>
        <w:t>ssion</w:t>
      </w:r>
      <w:proofErr w:type="spellEnd"/>
    </w:p>
    <w:p w14:paraId="3777629C" w14:textId="13272C3D" w:rsidR="000D40F8" w:rsidRPr="00F35D10" w:rsidRDefault="00366EBA" w:rsidP="00A05968">
      <w:pPr>
        <w:rPr>
          <w:lang w:eastAsia="x-none"/>
        </w:rPr>
      </w:pPr>
      <w:r w:rsidRPr="00F35D10">
        <w:rPr>
          <w:lang w:eastAsia="x-none"/>
        </w:rPr>
        <w:t xml:space="preserve">RAN4 </w:t>
      </w:r>
      <w:r w:rsidR="00D52A81" w:rsidRPr="00F35D10">
        <w:rPr>
          <w:lang w:eastAsia="zh-CN"/>
        </w:rPr>
        <w:t>shall take the agreements in</w:t>
      </w:r>
      <w:r w:rsidRPr="00F35D10">
        <w:rPr>
          <w:lang w:eastAsia="x-none"/>
        </w:rPr>
        <w:t xml:space="preserve"> LS </w:t>
      </w:r>
      <w:r w:rsidR="00BE5A09" w:rsidRPr="00F35D10">
        <w:rPr>
          <w:lang w:eastAsia="x-none"/>
        </w:rPr>
        <w:t>R2-2306594</w:t>
      </w:r>
      <w:r w:rsidR="00D52A81" w:rsidRPr="00F35D10">
        <w:rPr>
          <w:lang w:eastAsia="x-none"/>
        </w:rPr>
        <w:t xml:space="preserve"> as follows into </w:t>
      </w:r>
      <w:r w:rsidR="00686275">
        <w:rPr>
          <w:lang w:eastAsia="x-none"/>
        </w:rPr>
        <w:t>consideration</w:t>
      </w:r>
      <w:r w:rsidRPr="00F35D10">
        <w:rPr>
          <w:lang w:eastAsia="x-none"/>
        </w:rPr>
        <w:t>.</w:t>
      </w:r>
    </w:p>
    <w:tbl>
      <w:tblPr>
        <w:tblStyle w:val="TableGrid"/>
        <w:tblW w:w="0" w:type="auto"/>
        <w:tblLook w:val="04A0" w:firstRow="1" w:lastRow="0" w:firstColumn="1" w:lastColumn="0" w:noHBand="0" w:noVBand="1"/>
      </w:tblPr>
      <w:tblGrid>
        <w:gridCol w:w="10142"/>
      </w:tblGrid>
      <w:tr w:rsidR="00C9447D" w:rsidRPr="00F35D10" w14:paraId="0D0C3830" w14:textId="77777777" w:rsidTr="00C9447D">
        <w:tc>
          <w:tcPr>
            <w:tcW w:w="10142" w:type="dxa"/>
          </w:tcPr>
          <w:p w14:paraId="5F872507" w14:textId="77777777" w:rsidR="00913A1A" w:rsidRPr="00F35D10" w:rsidRDefault="00913A1A" w:rsidP="00913A1A">
            <w:pPr>
              <w:spacing w:after="120"/>
              <w:rPr>
                <w:b/>
              </w:rPr>
            </w:pPr>
            <w:r w:rsidRPr="00F35D10">
              <w:rPr>
                <w:b/>
              </w:rPr>
              <w:t>1. Overall Description:</w:t>
            </w:r>
          </w:p>
          <w:p w14:paraId="0ADC4BC2" w14:textId="77777777" w:rsidR="00A6301A" w:rsidRPr="00F35D10" w:rsidRDefault="00A6301A" w:rsidP="00A6301A">
            <w:pPr>
              <w:spacing w:afterLines="50" w:after="120"/>
              <w:rPr>
                <w:rFonts w:eastAsiaTheme="minorEastAsia"/>
                <w:sz w:val="21"/>
                <w:szCs w:val="21"/>
              </w:rPr>
            </w:pPr>
            <w:r w:rsidRPr="00F35D10">
              <w:rPr>
                <w:rFonts w:eastAsiaTheme="minorEastAsia"/>
                <w:sz w:val="21"/>
                <w:szCs w:val="21"/>
              </w:rPr>
              <w:t xml:space="preserve">According to the RAN2#122 meeting discussion, RAN2 discussed the UE </w:t>
            </w:r>
            <w:proofErr w:type="spellStart"/>
            <w:r w:rsidRPr="00F35D10">
              <w:rPr>
                <w:rFonts w:eastAsiaTheme="minorEastAsia"/>
                <w:sz w:val="21"/>
                <w:szCs w:val="21"/>
              </w:rPr>
              <w:t>behaviours</w:t>
            </w:r>
            <w:proofErr w:type="spellEnd"/>
            <w:r w:rsidRPr="00F35D10">
              <w:rPr>
                <w:rFonts w:eastAsiaTheme="minorEastAsia"/>
                <w:sz w:val="21"/>
                <w:szCs w:val="21"/>
              </w:rPr>
              <w:t xml:space="preserve"> regarding how to count the number of dropped UL slots for autonomous denial across all CC(s) within the same CG and the combination configuration of the LTE autonomous denial configuration and the NR autonomous denial configuration in EN-DC. RAN2 achieved the following agreements for autonomous denial solution:</w:t>
            </w:r>
          </w:p>
          <w:p w14:paraId="40530BB2" w14:textId="77777777" w:rsidR="00A6301A" w:rsidRPr="00F35D10" w:rsidRDefault="00A6301A" w:rsidP="00A6301A">
            <w:pPr>
              <w:pStyle w:val="Agreement"/>
              <w:rPr>
                <w:rFonts w:ascii="Times New Roman" w:hAnsi="Times New Roman"/>
              </w:rPr>
            </w:pPr>
            <w:bookmarkStart w:id="4" w:name="_Hlk135838078"/>
            <w:r w:rsidRPr="00F35D10">
              <w:rPr>
                <w:rFonts w:ascii="Times New Roman" w:hAnsi="Times New Roman"/>
              </w:rPr>
              <w:t>The LTE autonomous denial configuration is only for the LTE frequency in EN-DC</w:t>
            </w:r>
            <w:r w:rsidRPr="00F35D10">
              <w:rPr>
                <w:rFonts w:ascii="Times New Roman" w:eastAsiaTheme="minorEastAsia" w:hAnsi="Times New Roman"/>
                <w:lang w:eastAsia="zh-CN"/>
              </w:rPr>
              <w:t>.</w:t>
            </w:r>
          </w:p>
          <w:p w14:paraId="4CF48AAC" w14:textId="77777777" w:rsidR="00A6301A" w:rsidRPr="00F35D10" w:rsidRDefault="00A6301A" w:rsidP="00A6301A">
            <w:pPr>
              <w:pStyle w:val="Agreement"/>
              <w:rPr>
                <w:rFonts w:ascii="Times New Roman" w:hAnsi="Times New Roman"/>
              </w:rPr>
            </w:pPr>
            <w:r w:rsidRPr="00F35D10">
              <w:rPr>
                <w:rFonts w:ascii="Times New Roman" w:hAnsi="Times New Roman"/>
              </w:rPr>
              <w:t>The UE sums up the denied UL slots together across all CC(s) in the CG.</w:t>
            </w:r>
          </w:p>
          <w:bookmarkEnd w:id="4"/>
          <w:p w14:paraId="5C78CE9C" w14:textId="77777777" w:rsidR="00A6301A" w:rsidRPr="00F35D10" w:rsidRDefault="00A6301A" w:rsidP="00A6301A">
            <w:pPr>
              <w:pStyle w:val="Agreement"/>
              <w:rPr>
                <w:rFonts w:ascii="Times New Roman" w:hAnsi="Times New Roman"/>
              </w:rPr>
            </w:pPr>
            <w:r w:rsidRPr="00F35D10">
              <w:rPr>
                <w:rFonts w:ascii="Times New Roman" w:hAnsi="Times New Roman"/>
              </w:rPr>
              <w:t xml:space="preserve">The UE sums up the UL slots together across all CC(s) in the CG as validity </w:t>
            </w:r>
            <w:proofErr w:type="gramStart"/>
            <w:r w:rsidRPr="00F35D10">
              <w:rPr>
                <w:rFonts w:ascii="Times New Roman" w:hAnsi="Times New Roman"/>
              </w:rPr>
              <w:t>time period</w:t>
            </w:r>
            <w:proofErr w:type="gramEnd"/>
            <w:r w:rsidRPr="00F35D10">
              <w:rPr>
                <w:rFonts w:ascii="Times New Roman" w:hAnsi="Times New Roman"/>
              </w:rPr>
              <w:t>.</w:t>
            </w:r>
          </w:p>
          <w:p w14:paraId="219B269E" w14:textId="77777777" w:rsidR="00A6301A" w:rsidRPr="00F35D10" w:rsidRDefault="00A6301A" w:rsidP="00A6301A">
            <w:pPr>
              <w:pStyle w:val="Agreement"/>
              <w:rPr>
                <w:rFonts w:ascii="Times New Roman" w:hAnsi="Times New Roman"/>
              </w:rPr>
            </w:pPr>
            <w:r w:rsidRPr="00F35D10">
              <w:rPr>
                <w:rFonts w:ascii="Times New Roman" w:hAnsi="Times New Roman"/>
              </w:rPr>
              <w:t xml:space="preserve">The dropped/denied UL slots across CCs at the same time are counted as a single slot (based on longest slot). The details are up to UE implementation. </w:t>
            </w:r>
          </w:p>
          <w:p w14:paraId="654E1304" w14:textId="77777777" w:rsidR="00913A1A" w:rsidRPr="00F35D10" w:rsidRDefault="00913A1A" w:rsidP="00913A1A">
            <w:pPr>
              <w:spacing w:after="120"/>
              <w:rPr>
                <w:b/>
              </w:rPr>
            </w:pPr>
            <w:r w:rsidRPr="00F35D10">
              <w:rPr>
                <w:b/>
              </w:rPr>
              <w:t>2. Actions:</w:t>
            </w:r>
          </w:p>
          <w:p w14:paraId="3A26AF04" w14:textId="77777777" w:rsidR="0017243B" w:rsidRPr="00F35D10" w:rsidRDefault="0017243B" w:rsidP="0017243B">
            <w:pPr>
              <w:spacing w:after="120"/>
              <w:ind w:left="1985" w:hanging="1985"/>
              <w:rPr>
                <w:rFonts w:eastAsia="Yu Mincho"/>
                <w:b/>
                <w:lang w:eastAsia="en-GB"/>
              </w:rPr>
            </w:pPr>
            <w:r w:rsidRPr="00F35D10">
              <w:rPr>
                <w:rFonts w:eastAsia="Yu Mincho"/>
                <w:b/>
                <w:lang w:eastAsia="en-GB"/>
              </w:rPr>
              <w:t>To RAN4</w:t>
            </w:r>
          </w:p>
          <w:p w14:paraId="6C0814A0" w14:textId="7F72DF5E" w:rsidR="00C9447D" w:rsidRPr="00F35D10" w:rsidRDefault="0017243B" w:rsidP="00F35D10">
            <w:pPr>
              <w:spacing w:after="120"/>
              <w:ind w:left="993" w:hanging="993"/>
            </w:pPr>
            <w:r w:rsidRPr="00F35D10">
              <w:rPr>
                <w:rFonts w:eastAsia="Yu Mincho"/>
                <w:b/>
                <w:lang w:eastAsia="en-GB"/>
              </w:rPr>
              <w:t xml:space="preserve">ACTION: </w:t>
            </w:r>
            <w:r w:rsidRPr="00F35D10">
              <w:rPr>
                <w:rFonts w:eastAsia="Yu Mincho"/>
                <w:bCs/>
                <w:sz w:val="21"/>
                <w:szCs w:val="21"/>
                <w:lang w:eastAsia="en-GB"/>
              </w:rPr>
              <w:t xml:space="preserve">RAN2 kindly asks RAN4 to take the above information into account for the further </w:t>
            </w:r>
            <w:proofErr w:type="gramStart"/>
            <w:r w:rsidRPr="00F35D10">
              <w:rPr>
                <w:rFonts w:eastAsia="Yu Mincho"/>
                <w:bCs/>
                <w:sz w:val="21"/>
                <w:szCs w:val="21"/>
                <w:lang w:eastAsia="en-GB"/>
              </w:rPr>
              <w:t>work, and</w:t>
            </w:r>
            <w:proofErr w:type="gramEnd"/>
            <w:r w:rsidRPr="00F35D10">
              <w:rPr>
                <w:rFonts w:eastAsia="Yu Mincho"/>
                <w:bCs/>
                <w:sz w:val="21"/>
                <w:szCs w:val="21"/>
                <w:lang w:eastAsia="en-GB"/>
              </w:rPr>
              <w:t xml:space="preserve"> define the corresponding RRM requirements if needed.</w:t>
            </w:r>
          </w:p>
        </w:tc>
      </w:tr>
    </w:tbl>
    <w:p w14:paraId="4C231592" w14:textId="77777777" w:rsidR="007403D9" w:rsidRDefault="007403D9" w:rsidP="00A05968">
      <w:pPr>
        <w:rPr>
          <w:lang w:val="x-none" w:eastAsia="x-none"/>
        </w:rPr>
      </w:pPr>
    </w:p>
    <w:p w14:paraId="5452D035" w14:textId="578446CA" w:rsidR="00E326D3" w:rsidRDefault="008404D6" w:rsidP="00E326D3">
      <w:pPr>
        <w:rPr>
          <w:lang w:eastAsia="x-none"/>
        </w:rPr>
      </w:pPr>
      <w:r>
        <w:rPr>
          <w:lang w:eastAsia="x-none"/>
        </w:rPr>
        <w:t xml:space="preserve">With respect to above LS, </w:t>
      </w:r>
      <w:r w:rsidR="007D585B">
        <w:rPr>
          <w:lang w:eastAsia="x-none"/>
        </w:rPr>
        <w:t xml:space="preserve">some interpretations shall be noted in TS 38.133. </w:t>
      </w:r>
      <w:r w:rsidR="00E326D3">
        <w:rPr>
          <w:lang w:eastAsia="x-none"/>
        </w:rPr>
        <w:t xml:space="preserve">Referring to </w:t>
      </w:r>
      <w:r w:rsidR="00DC391D">
        <w:rPr>
          <w:lang w:eastAsia="x-none"/>
        </w:rPr>
        <w:t xml:space="preserve">content </w:t>
      </w:r>
      <w:r w:rsidR="00D02A88">
        <w:rPr>
          <w:lang w:eastAsia="x-none"/>
        </w:rPr>
        <w:t xml:space="preserve">of </w:t>
      </w:r>
      <w:r w:rsidR="00E326D3">
        <w:rPr>
          <w:lang w:eastAsia="x-none"/>
        </w:rPr>
        <w:t xml:space="preserve">TS36.133, the IDC solution influence </w:t>
      </w:r>
      <w:proofErr w:type="gramStart"/>
      <w:r w:rsidR="00E326D3">
        <w:rPr>
          <w:lang w:eastAsia="x-none"/>
        </w:rPr>
        <w:t>to</w:t>
      </w:r>
      <w:proofErr w:type="gramEnd"/>
      <w:r w:rsidR="00E326D3">
        <w:rPr>
          <w:lang w:eastAsia="x-none"/>
        </w:rPr>
        <w:t xml:space="preserve"> measurement requirements </w:t>
      </w:r>
      <w:r w:rsidR="00F41879">
        <w:rPr>
          <w:lang w:eastAsia="x-none"/>
        </w:rPr>
        <w:t xml:space="preserve">is defined generally as follows: </w:t>
      </w:r>
      <w:r w:rsidR="00E326D3">
        <w:rPr>
          <w:rFonts w:ascii="Calibri" w:hAnsi="Calibri" w:cs="Calibri"/>
          <w:lang w:eastAsia="x-none"/>
        </w:rPr>
        <w:t>﻿‘</w:t>
      </w:r>
      <w:r w:rsidR="00E326D3">
        <w:rPr>
          <w:lang w:eastAsia="x-none"/>
        </w:rPr>
        <w:t>If IDC autonomous</w:t>
      </w:r>
      <w:r w:rsidR="00F41879">
        <w:rPr>
          <w:lang w:eastAsia="x-none"/>
        </w:rPr>
        <w:t xml:space="preserve"> </w:t>
      </w:r>
      <w:r w:rsidR="00E326D3">
        <w:rPr>
          <w:lang w:eastAsia="x-none"/>
        </w:rPr>
        <w:t>denial is configured, an additional delay can be expected.’</w:t>
      </w:r>
      <w:r w:rsidR="00D44C7E">
        <w:rPr>
          <w:lang w:eastAsia="x-none"/>
        </w:rPr>
        <w:t xml:space="preserve"> </w:t>
      </w:r>
      <w:r w:rsidR="00B67F61">
        <w:rPr>
          <w:lang w:eastAsia="x-none"/>
        </w:rPr>
        <w:t>Since the statement spreads among different clauses in TS 38.133</w:t>
      </w:r>
      <w:r w:rsidR="0051383E">
        <w:rPr>
          <w:lang w:eastAsia="x-none"/>
        </w:rPr>
        <w:t xml:space="preserve">, </w:t>
      </w:r>
      <w:r w:rsidR="002D1FAF">
        <w:rPr>
          <w:lang w:eastAsia="x-none"/>
        </w:rPr>
        <w:t>adding</w:t>
      </w:r>
      <w:r w:rsidR="0051383E">
        <w:rPr>
          <w:lang w:eastAsia="x-none"/>
        </w:rPr>
        <w:t xml:space="preserve"> note </w:t>
      </w:r>
      <w:r w:rsidR="002D1FAF">
        <w:rPr>
          <w:lang w:eastAsia="x-none"/>
        </w:rPr>
        <w:t xml:space="preserve">for each IDC autonomous denial </w:t>
      </w:r>
      <w:r w:rsidR="00D02A88">
        <w:rPr>
          <w:lang w:eastAsia="x-none"/>
        </w:rPr>
        <w:t xml:space="preserve">requirement seems too </w:t>
      </w:r>
      <w:r w:rsidR="00DC2455" w:rsidRPr="00DC2455">
        <w:rPr>
          <w:lang w:eastAsia="x-none"/>
        </w:rPr>
        <w:t>redundant</w:t>
      </w:r>
      <w:r w:rsidR="00D02A88">
        <w:rPr>
          <w:lang w:eastAsia="x-none"/>
        </w:rPr>
        <w:t xml:space="preserve">. </w:t>
      </w:r>
      <w:r w:rsidR="0000791C">
        <w:rPr>
          <w:lang w:eastAsia="x-none"/>
        </w:rPr>
        <w:t xml:space="preserve">Therefore, we suggest </w:t>
      </w:r>
      <w:r w:rsidR="00BC40BE">
        <w:rPr>
          <w:lang w:eastAsia="x-none"/>
        </w:rPr>
        <w:t>adding</w:t>
      </w:r>
      <w:r w:rsidR="0000791C">
        <w:rPr>
          <w:lang w:eastAsia="x-none"/>
        </w:rPr>
        <w:t xml:space="preserve"> </w:t>
      </w:r>
      <w:r w:rsidR="001F11EC">
        <w:rPr>
          <w:lang w:eastAsia="x-none"/>
        </w:rPr>
        <w:t xml:space="preserve">a chapter to present the </w:t>
      </w:r>
      <w:r w:rsidR="0040596C">
        <w:rPr>
          <w:lang w:eastAsia="x-none"/>
        </w:rPr>
        <w:t xml:space="preserve">interpretations in clause 3.6 </w:t>
      </w:r>
      <w:r w:rsidR="00BC40BE" w:rsidRPr="00BC40BE">
        <w:rPr>
          <w:rFonts w:ascii="Calibri" w:hAnsi="Calibri" w:cs="Calibri"/>
          <w:lang w:eastAsia="x-none"/>
        </w:rPr>
        <w:t>﻿</w:t>
      </w:r>
      <w:r w:rsidR="00BC40BE">
        <w:rPr>
          <w:rFonts w:ascii="Calibri" w:hAnsi="Calibri" w:cs="Calibri"/>
          <w:lang w:eastAsia="x-none"/>
        </w:rPr>
        <w:t>‘</w:t>
      </w:r>
      <w:r w:rsidR="00BC40BE" w:rsidRPr="00BC40BE">
        <w:rPr>
          <w:lang w:eastAsia="x-none"/>
        </w:rPr>
        <w:t>Applicability of requirements in this specification version</w:t>
      </w:r>
      <w:r w:rsidR="00BC40BE">
        <w:rPr>
          <w:lang w:eastAsia="x-none"/>
        </w:rPr>
        <w:t>’.</w:t>
      </w:r>
    </w:p>
    <w:p w14:paraId="31DD696A" w14:textId="07D97D21" w:rsidR="00BC40BE" w:rsidRPr="001E3DA2" w:rsidRDefault="00BC40BE" w:rsidP="00BC40BE">
      <w:pPr>
        <w:rPr>
          <w:b/>
          <w:bCs/>
          <w:lang w:eastAsia="x-none"/>
        </w:rPr>
      </w:pPr>
      <w:r w:rsidRPr="001E3DA2">
        <w:rPr>
          <w:b/>
          <w:bCs/>
          <w:lang w:eastAsia="zh-CN"/>
        </w:rPr>
        <w:t xml:space="preserve">Proposal </w:t>
      </w:r>
      <w:r w:rsidR="002E2BF0">
        <w:rPr>
          <w:b/>
          <w:bCs/>
          <w:lang w:eastAsia="zh-CN"/>
        </w:rPr>
        <w:t>1</w:t>
      </w:r>
      <w:r w:rsidR="00497821" w:rsidRPr="001E3DA2">
        <w:rPr>
          <w:b/>
          <w:bCs/>
          <w:lang w:eastAsia="zh-CN"/>
        </w:rPr>
        <w:t xml:space="preserve">: </w:t>
      </w:r>
      <w:r w:rsidRPr="001E3DA2">
        <w:rPr>
          <w:b/>
          <w:bCs/>
          <w:lang w:eastAsia="zh-CN"/>
        </w:rPr>
        <w:t>A</w:t>
      </w:r>
      <w:r w:rsidRPr="001E3DA2">
        <w:rPr>
          <w:b/>
          <w:bCs/>
          <w:lang w:eastAsia="x-none"/>
        </w:rPr>
        <w:t xml:space="preserve">dd a chapter to present the </w:t>
      </w:r>
      <w:r w:rsidR="006D08B9" w:rsidRPr="001E3DA2">
        <w:rPr>
          <w:b/>
          <w:bCs/>
          <w:lang w:eastAsia="x-none"/>
        </w:rPr>
        <w:t>interpretations (</w:t>
      </w:r>
      <w:r w:rsidR="001E3DA2" w:rsidRPr="001E3DA2">
        <w:rPr>
          <w:b/>
          <w:bCs/>
          <w:lang w:eastAsia="x-none"/>
        </w:rPr>
        <w:t>as LS listed)</w:t>
      </w:r>
      <w:r w:rsidRPr="001E3DA2">
        <w:rPr>
          <w:b/>
          <w:bCs/>
          <w:lang w:eastAsia="x-none"/>
        </w:rPr>
        <w:t xml:space="preserve"> </w:t>
      </w:r>
      <w:r w:rsidR="001E3DA2" w:rsidRPr="001E3DA2">
        <w:rPr>
          <w:b/>
          <w:bCs/>
          <w:lang w:eastAsia="x-none"/>
        </w:rPr>
        <w:t xml:space="preserve">for </w:t>
      </w:r>
      <w:r w:rsidR="001E3DA2" w:rsidRPr="001E3DA2">
        <w:rPr>
          <w:rFonts w:eastAsiaTheme="minorEastAsia"/>
          <w:b/>
          <w:bCs/>
          <w:sz w:val="21"/>
          <w:szCs w:val="21"/>
        </w:rPr>
        <w:t xml:space="preserve">autonomous denial solution </w:t>
      </w:r>
      <w:r w:rsidRPr="001E3DA2">
        <w:rPr>
          <w:b/>
          <w:bCs/>
          <w:lang w:eastAsia="x-none"/>
        </w:rPr>
        <w:t xml:space="preserve">in clause 3.6 </w:t>
      </w:r>
      <w:r w:rsidRPr="001E3DA2">
        <w:rPr>
          <w:rFonts w:ascii="Calibri" w:hAnsi="Calibri" w:cs="Calibri"/>
          <w:b/>
          <w:bCs/>
          <w:lang w:eastAsia="x-none"/>
        </w:rPr>
        <w:t>﻿‘</w:t>
      </w:r>
      <w:r w:rsidRPr="001E3DA2">
        <w:rPr>
          <w:b/>
          <w:bCs/>
          <w:lang w:eastAsia="x-none"/>
        </w:rPr>
        <w:t>Applicability of requirements in this specification version’</w:t>
      </w:r>
      <w:r w:rsidR="001E3DA2" w:rsidRPr="001E3DA2">
        <w:rPr>
          <w:b/>
          <w:bCs/>
          <w:lang w:eastAsia="x-none"/>
        </w:rPr>
        <w:t xml:space="preserve"> of TS 38.133.</w:t>
      </w:r>
    </w:p>
    <w:p w14:paraId="01D8423F" w14:textId="1621E193" w:rsidR="003D64B1" w:rsidRPr="00F35D10" w:rsidRDefault="003D64B1" w:rsidP="003D64B1">
      <w:pPr>
        <w:spacing w:after="0"/>
        <w:jc w:val="both"/>
        <w:rPr>
          <w:lang w:eastAsia="zh-CN"/>
        </w:rPr>
      </w:pPr>
    </w:p>
    <w:bookmarkEnd w:id="1"/>
    <w:bookmarkEnd w:id="2"/>
    <w:p w14:paraId="094009BB" w14:textId="77777777" w:rsidR="00440488" w:rsidRPr="00F35D10" w:rsidRDefault="00440488" w:rsidP="00440488">
      <w:pPr>
        <w:rPr>
          <w:lang w:eastAsia="zh-CN"/>
        </w:rPr>
      </w:pPr>
    </w:p>
    <w:p w14:paraId="78C20693" w14:textId="77777777" w:rsidR="00440488" w:rsidRPr="00F35D10" w:rsidRDefault="00440488" w:rsidP="00440488">
      <w:pPr>
        <w:pStyle w:val="Heading1"/>
        <w:ind w:right="72"/>
        <w:rPr>
          <w:rFonts w:ascii="Times New Roman" w:hAnsi="Times New Roman"/>
          <w:lang w:val="sv-SE"/>
        </w:rPr>
      </w:pPr>
      <w:proofErr w:type="spellStart"/>
      <w:r w:rsidRPr="00F35D10">
        <w:rPr>
          <w:rFonts w:ascii="Times New Roman" w:hAnsi="Times New Roman"/>
          <w:lang w:val="sv-SE"/>
        </w:rPr>
        <w:t>Conclusion</w:t>
      </w:r>
      <w:proofErr w:type="spellEnd"/>
    </w:p>
    <w:p w14:paraId="20D18291" w14:textId="35B45126" w:rsidR="001E3DA2" w:rsidRPr="001E3DA2" w:rsidRDefault="001E3DA2" w:rsidP="001E3DA2">
      <w:pPr>
        <w:rPr>
          <w:b/>
          <w:bCs/>
          <w:lang w:eastAsia="x-none"/>
        </w:rPr>
      </w:pPr>
      <w:r w:rsidRPr="001E3DA2">
        <w:rPr>
          <w:b/>
          <w:bCs/>
          <w:lang w:eastAsia="zh-CN"/>
        </w:rPr>
        <w:t xml:space="preserve">Proposal </w:t>
      </w:r>
      <w:r w:rsidR="006D08B9">
        <w:rPr>
          <w:b/>
          <w:bCs/>
          <w:lang w:eastAsia="zh-CN"/>
        </w:rPr>
        <w:t>1</w:t>
      </w:r>
      <w:r w:rsidRPr="001E3DA2">
        <w:rPr>
          <w:b/>
          <w:bCs/>
          <w:lang w:eastAsia="zh-CN"/>
        </w:rPr>
        <w:t>: A</w:t>
      </w:r>
      <w:r w:rsidRPr="001E3DA2">
        <w:rPr>
          <w:b/>
          <w:bCs/>
          <w:lang w:eastAsia="x-none"/>
        </w:rPr>
        <w:t xml:space="preserve">dd a chapter to present the </w:t>
      </w:r>
      <w:r w:rsidR="006D08B9" w:rsidRPr="001E3DA2">
        <w:rPr>
          <w:b/>
          <w:bCs/>
          <w:lang w:eastAsia="x-none"/>
        </w:rPr>
        <w:t>interpretations (</w:t>
      </w:r>
      <w:r w:rsidRPr="001E3DA2">
        <w:rPr>
          <w:b/>
          <w:bCs/>
          <w:lang w:eastAsia="x-none"/>
        </w:rPr>
        <w:t xml:space="preserve">as LS listed) for </w:t>
      </w:r>
      <w:r w:rsidRPr="001E3DA2">
        <w:rPr>
          <w:rFonts w:eastAsiaTheme="minorEastAsia"/>
          <w:b/>
          <w:bCs/>
          <w:sz w:val="21"/>
          <w:szCs w:val="21"/>
        </w:rPr>
        <w:t xml:space="preserve">autonomous denial solution </w:t>
      </w:r>
      <w:r w:rsidRPr="001E3DA2">
        <w:rPr>
          <w:b/>
          <w:bCs/>
          <w:lang w:eastAsia="x-none"/>
        </w:rPr>
        <w:t xml:space="preserve">in clause 3.6 </w:t>
      </w:r>
      <w:r w:rsidRPr="001E3DA2">
        <w:rPr>
          <w:rFonts w:ascii="Calibri" w:hAnsi="Calibri" w:cs="Calibri"/>
          <w:b/>
          <w:bCs/>
          <w:lang w:eastAsia="x-none"/>
        </w:rPr>
        <w:t>﻿‘</w:t>
      </w:r>
      <w:r w:rsidRPr="001E3DA2">
        <w:rPr>
          <w:b/>
          <w:bCs/>
          <w:lang w:eastAsia="x-none"/>
        </w:rPr>
        <w:t>Applicability of requirements in this specification version’ of TS 38.133.</w:t>
      </w:r>
    </w:p>
    <w:p w14:paraId="304AE879" w14:textId="77777777" w:rsidR="00440488" w:rsidRPr="00F35D10" w:rsidRDefault="00440488" w:rsidP="00440488">
      <w:pPr>
        <w:rPr>
          <w:lang w:eastAsia="x-none"/>
        </w:rPr>
      </w:pPr>
    </w:p>
    <w:p w14:paraId="44C541A0" w14:textId="77777777" w:rsidR="00440488" w:rsidRPr="00F35D10" w:rsidRDefault="00440488" w:rsidP="00440488">
      <w:pPr>
        <w:pStyle w:val="Heading1"/>
        <w:ind w:right="72"/>
        <w:rPr>
          <w:rFonts w:ascii="Times New Roman" w:hAnsi="Times New Roman"/>
          <w:lang w:val="en-US"/>
        </w:rPr>
      </w:pPr>
      <w:r w:rsidRPr="00F35D10">
        <w:rPr>
          <w:rFonts w:ascii="Times New Roman" w:hAnsi="Times New Roman"/>
          <w:lang w:val="en-US"/>
        </w:rPr>
        <w:t>References</w:t>
      </w:r>
    </w:p>
    <w:p w14:paraId="5E735E88" w14:textId="77777777" w:rsidR="00440488" w:rsidRPr="00F35D10" w:rsidRDefault="00440488" w:rsidP="00440488">
      <w:pPr>
        <w:numPr>
          <w:ilvl w:val="0"/>
          <w:numId w:val="12"/>
        </w:numPr>
        <w:tabs>
          <w:tab w:val="left" w:pos="851"/>
        </w:tabs>
        <w:rPr>
          <w:sz w:val="22"/>
          <w:szCs w:val="22"/>
          <w:lang w:val="en-CA"/>
        </w:rPr>
      </w:pPr>
      <w:r w:rsidRPr="00F35D10">
        <w:rPr>
          <w:sz w:val="22"/>
          <w:szCs w:val="22"/>
          <w:lang w:val="en-CA"/>
        </w:rPr>
        <w:t xml:space="preserve">R4-2310162, </w:t>
      </w:r>
      <w:r w:rsidRPr="00F35D10">
        <w:rPr>
          <w:rFonts w:eastAsia="MS Mincho"/>
          <w:bCs/>
          <w:sz w:val="22"/>
        </w:rPr>
        <w:t>WF on IDC enhancements, Xiaomi</w:t>
      </w:r>
    </w:p>
    <w:p w14:paraId="5C203556" w14:textId="7ADA1B0E" w:rsidR="00FB7F77" w:rsidRPr="00440488" w:rsidRDefault="00FB7F77" w:rsidP="00116691">
      <w:pPr>
        <w:rPr>
          <w:rFonts w:ascii="Arial" w:hAnsi="Arial" w:cs="Arial"/>
          <w:color w:val="FF0000"/>
          <w:lang w:val="en-CA" w:eastAsia="x-none"/>
        </w:rPr>
      </w:pPr>
    </w:p>
    <w:sectPr w:rsidR="00FB7F77" w:rsidRPr="00440488"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1B3C" w14:textId="77777777" w:rsidR="00797F1B" w:rsidRDefault="00797F1B">
      <w:r>
        <w:separator/>
      </w:r>
    </w:p>
  </w:endnote>
  <w:endnote w:type="continuationSeparator" w:id="0">
    <w:p w14:paraId="727E31BA" w14:textId="77777777" w:rsidR="00797F1B" w:rsidRDefault="00797F1B">
      <w:r>
        <w:continuationSeparator/>
      </w:r>
    </w:p>
  </w:endnote>
  <w:endnote w:type="continuationNotice" w:id="1">
    <w:p w14:paraId="25179F71" w14:textId="77777777" w:rsidR="00797F1B" w:rsidRDefault="00797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B970B" w14:textId="77777777" w:rsidR="00797F1B" w:rsidRDefault="00797F1B">
      <w:r>
        <w:separator/>
      </w:r>
    </w:p>
  </w:footnote>
  <w:footnote w:type="continuationSeparator" w:id="0">
    <w:p w14:paraId="289C8E5D" w14:textId="77777777" w:rsidR="00797F1B" w:rsidRDefault="00797F1B">
      <w:r>
        <w:continuationSeparator/>
      </w:r>
    </w:p>
  </w:footnote>
  <w:footnote w:type="continuationNotice" w:id="1">
    <w:p w14:paraId="523BCB10" w14:textId="77777777" w:rsidR="00797F1B" w:rsidRDefault="00797F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9"/>
  </w:num>
  <w:num w:numId="2" w16cid:durableId="2059434476">
    <w:abstractNumId w:val="38"/>
  </w:num>
  <w:num w:numId="3" w16cid:durableId="559248169">
    <w:abstractNumId w:val="35"/>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0"/>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8"/>
  </w:num>
  <w:num w:numId="13" w16cid:durableId="1572502665">
    <w:abstractNumId w:val="33"/>
  </w:num>
  <w:num w:numId="14" w16cid:durableId="454638922">
    <w:abstractNumId w:val="3"/>
  </w:num>
  <w:num w:numId="15" w16cid:durableId="1751809892">
    <w:abstractNumId w:val="32"/>
  </w:num>
  <w:num w:numId="16" w16cid:durableId="1753549281">
    <w:abstractNumId w:val="15"/>
  </w:num>
  <w:num w:numId="17" w16cid:durableId="510267951">
    <w:abstractNumId w:val="19"/>
  </w:num>
  <w:num w:numId="18" w16cid:durableId="1157838567">
    <w:abstractNumId w:val="39"/>
  </w:num>
  <w:num w:numId="19" w16cid:durableId="1848521500">
    <w:abstractNumId w:val="17"/>
  </w:num>
  <w:num w:numId="20" w16cid:durableId="729305332">
    <w:abstractNumId w:val="37"/>
  </w:num>
  <w:num w:numId="21" w16cid:durableId="1826848225">
    <w:abstractNumId w:val="16"/>
  </w:num>
  <w:num w:numId="22" w16cid:durableId="2050908584">
    <w:abstractNumId w:val="18"/>
  </w:num>
  <w:num w:numId="23" w16cid:durableId="1054818417">
    <w:abstractNumId w:val="21"/>
  </w:num>
  <w:num w:numId="24" w16cid:durableId="526407360">
    <w:abstractNumId w:val="27"/>
  </w:num>
  <w:num w:numId="25" w16cid:durableId="1690058211">
    <w:abstractNumId w:val="9"/>
  </w:num>
  <w:num w:numId="26" w16cid:durableId="1827083984">
    <w:abstractNumId w:val="6"/>
  </w:num>
  <w:num w:numId="27" w16cid:durableId="1344891009">
    <w:abstractNumId w:val="31"/>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6"/>
  </w:num>
  <w:num w:numId="35" w16cid:durableId="179783430">
    <w:abstractNumId w:val="30"/>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5"/>
  </w:num>
  <w:num w:numId="41" w16cid:durableId="100299173">
    <w:abstractNumId w:val="35"/>
  </w:num>
  <w:num w:numId="42" w16cid:durableId="1617638317">
    <w:abstractNumId w:val="7"/>
  </w:num>
  <w:num w:numId="43" w16cid:durableId="320698228">
    <w:abstractNumId w:val="35"/>
  </w:num>
  <w:num w:numId="44" w16cid:durableId="1765609331">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91C"/>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233"/>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3E41"/>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691"/>
    <w:rsid w:val="00116790"/>
    <w:rsid w:val="0011688D"/>
    <w:rsid w:val="00116B1B"/>
    <w:rsid w:val="001171A1"/>
    <w:rsid w:val="001173AF"/>
    <w:rsid w:val="00117538"/>
    <w:rsid w:val="0011772D"/>
    <w:rsid w:val="00117F1E"/>
    <w:rsid w:val="001203F6"/>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43B"/>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05"/>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6B9"/>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DA2"/>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1E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71C"/>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1FAF"/>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BF0"/>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5CD"/>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235"/>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352"/>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EBA"/>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CFE"/>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B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96C"/>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488"/>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821"/>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6A3"/>
    <w:rsid w:val="00512839"/>
    <w:rsid w:val="00512C2E"/>
    <w:rsid w:val="00512CAA"/>
    <w:rsid w:val="00512ED6"/>
    <w:rsid w:val="00513094"/>
    <w:rsid w:val="00513142"/>
    <w:rsid w:val="0051318D"/>
    <w:rsid w:val="005137C7"/>
    <w:rsid w:val="0051383E"/>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4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694"/>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7B4"/>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AFC"/>
    <w:rsid w:val="00685BBD"/>
    <w:rsid w:val="00685DA8"/>
    <w:rsid w:val="00686275"/>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8B9"/>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AA5"/>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AD1"/>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D79"/>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1B"/>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85B"/>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72C"/>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4D6"/>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A1A"/>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6C"/>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3A8"/>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989"/>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01A"/>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097"/>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7D8"/>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67F61"/>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4"/>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0BE"/>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A09"/>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5D6A"/>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0BBF"/>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84A"/>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A47"/>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0C1"/>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85C"/>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3EFD"/>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A88"/>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CD1"/>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7E"/>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A81"/>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109"/>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80"/>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455"/>
    <w:rsid w:val="00DC259C"/>
    <w:rsid w:val="00DC25CD"/>
    <w:rsid w:val="00DC25E8"/>
    <w:rsid w:val="00DC2750"/>
    <w:rsid w:val="00DC3016"/>
    <w:rsid w:val="00DC3732"/>
    <w:rsid w:val="00DC391D"/>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6D3"/>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7E"/>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09"/>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687"/>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BBC"/>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D10"/>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79"/>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7B5"/>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6B"/>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6F82"/>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E5B"/>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customStyle="1" w:styleId="Agreement">
    <w:name w:val="Agreement"/>
    <w:basedOn w:val="Normal"/>
    <w:next w:val="Normal"/>
    <w:uiPriority w:val="99"/>
    <w:qFormat/>
    <w:rsid w:val="00A6301A"/>
    <w:pPr>
      <w:numPr>
        <w:numId w:val="44"/>
      </w:numPr>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0FE8E736-F222-4C24-B3DF-C19E828EF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